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DE" w:rsidRPr="0070157E" w:rsidRDefault="00A50CDE" w:rsidP="00A50CDE">
      <w:r w:rsidRPr="0070157E">
        <w:t>Dieser Subwoofer ergänzt vor allem größere Fullrange-Systeme im Low-End-Bereich. Dieses Modell ist serienmäßig mit zwei bassreflexabgestimmten 15“ Langhub-Hochleistungschassis bestückt. Der Subwoofer bietet dabei eine Eingangsimpedanz von 4 Ohm. Die beiden direktabstrahlenden Subwoofer-Chassis befinden sich in einem optimal abgestimmten Gehäuse, welches die maximale akustische Ausgangsleistung der Lautsprecher erlaubt. Durch die perfekte Ausnutzung der mechanischen und thermischen Eigenschaften der eingesetzten Treiber sind max. Schalldrücke von bis zu 137,5 dB (1 m) möglich. Die spezielle Tunnelkonstruktion ist aus 15 mm Multiplex aufgebaut. Beide Treiberchassis werden durch diesen Reflexkanal und die Seitenwände umschlossen und dadurch radial gleichmäßiger belastet. Taumelbewegungen der Membranen werden hierdurch minimiert und erhöhen so die maximale Ausgangsleistung. Die extrem große Tunnelfläche gewährleistet höchste Bassreflex-Effektivität ohne Tunnelkompressionseffekte und erhöht gleichzeitig noch die Statik des gesamten Subwoofers. Auch die Gehäuse-Wände sind aus hochwertigem Birkenmultiplex gefertigt und zusätzlich mit Versteifungsstücke gegen Wandresonanzen ausgestattet. Die Griffkonstruktionen sind für bestes Handling designt und versteifen zusätzlich die Boxenwände. Die Frontseite des Lautsprechers und die dort eingebauten Treiberkomponenten sind mit einem stabilen Metallgitter geschützt. Die gesamte Konstruktion erfüllt alle nur denkbaren Ansprüche im Bereich der professionellen Beschallungstechnik, sei es im mobilen Touring-Alltag oder in der anspruchsvollen Festinstallation.</w:t>
      </w:r>
    </w:p>
    <w:p w:rsidR="00A50CDE" w:rsidRPr="0070157E" w:rsidRDefault="00A50CDE" w:rsidP="00A50CDE">
      <w:r w:rsidRPr="0070157E">
        <w:t>Dieser Subwoofer erfüllt folgende technische Daten:</w:t>
      </w:r>
    </w:p>
    <w:p w:rsidR="00A50CDE" w:rsidRPr="0070157E" w:rsidRDefault="00A50CDE" w:rsidP="00A50CDE">
      <w:r w:rsidRPr="0070157E">
        <w:rPr>
          <w:bCs/>
        </w:rPr>
        <w:t>Bestückung</w:t>
      </w:r>
      <w:r w:rsidRPr="0070157E">
        <w:t>: 2 x 15" LF-Treiber</w:t>
      </w:r>
      <w:r w:rsidRPr="0070157E">
        <w:br/>
      </w:r>
      <w:r w:rsidRPr="0070157E">
        <w:rPr>
          <w:bCs/>
        </w:rPr>
        <w:t>Belastbarkeit</w:t>
      </w:r>
      <w:r w:rsidRPr="0070157E">
        <w:t>: 1.400 Watt RMS (AES Standard)</w:t>
      </w:r>
      <w:r w:rsidRPr="0070157E">
        <w:br/>
      </w:r>
      <w:r w:rsidRPr="0070157E">
        <w:rPr>
          <w:bCs/>
        </w:rPr>
        <w:t>Eingangsimpedanz</w:t>
      </w:r>
      <w:r w:rsidRPr="0070157E">
        <w:t>: 4 Ohm</w:t>
      </w:r>
      <w:r w:rsidRPr="0070157E">
        <w:br/>
      </w:r>
      <w:r w:rsidRPr="0070157E">
        <w:rPr>
          <w:bCs/>
        </w:rPr>
        <w:t>Übertragungsbereich</w:t>
      </w:r>
      <w:r w:rsidRPr="0070157E">
        <w:t>: 35 Hz bis 300 Hz</w:t>
      </w:r>
      <w:r w:rsidRPr="0070157E">
        <w:br/>
      </w:r>
      <w:r w:rsidRPr="0070157E">
        <w:rPr>
          <w:bCs/>
        </w:rPr>
        <w:t>Empfindlichkeit</w:t>
      </w:r>
      <w:r w:rsidRPr="0070157E">
        <w:t>: 100 dB (1 W/1 m)</w:t>
      </w:r>
      <w:r w:rsidRPr="0070157E">
        <w:br/>
      </w:r>
      <w:r w:rsidRPr="0070157E">
        <w:rPr>
          <w:bCs/>
        </w:rPr>
        <w:t>Peak SPL</w:t>
      </w:r>
      <w:r w:rsidRPr="0070157E">
        <w:t>: 137,5 dB (1 m)</w:t>
      </w:r>
      <w:r w:rsidRPr="0070157E">
        <w:br/>
      </w:r>
      <w:r w:rsidRPr="0070157E">
        <w:rPr>
          <w:bCs/>
        </w:rPr>
        <w:t>Anschlüsse</w:t>
      </w:r>
      <w:r w:rsidRPr="0070157E">
        <w:t xml:space="preserve">: 2 x </w:t>
      </w:r>
      <w:proofErr w:type="spellStart"/>
      <w:r w:rsidRPr="0070157E">
        <w:t>Neutrik</w:t>
      </w:r>
      <w:proofErr w:type="spellEnd"/>
      <w:r w:rsidRPr="0070157E">
        <w:t xml:space="preserve"> NLT4MP</w:t>
      </w:r>
      <w:r w:rsidRPr="0070157E">
        <w:br/>
      </w:r>
      <w:r w:rsidRPr="0070157E">
        <w:rPr>
          <w:bCs/>
        </w:rPr>
        <w:t>Distanzstangenflansch</w:t>
      </w:r>
      <w:r w:rsidRPr="0070157E">
        <w:t>: ja, 35 mm</w:t>
      </w:r>
      <w:r w:rsidRPr="0070157E">
        <w:br/>
      </w:r>
      <w:r w:rsidRPr="0070157E">
        <w:rPr>
          <w:bCs/>
        </w:rPr>
        <w:t>Griffschalen</w:t>
      </w:r>
      <w:r w:rsidRPr="0070157E">
        <w:t>: vier</w:t>
      </w:r>
      <w:r>
        <w:t>, dezent in das Gehäuse gefräst</w:t>
      </w:r>
      <w:r w:rsidRPr="0070157E">
        <w:br/>
      </w:r>
      <w:r w:rsidRPr="0070157E">
        <w:rPr>
          <w:bCs/>
        </w:rPr>
        <w:t>Gehäuse</w:t>
      </w:r>
      <w:r w:rsidRPr="0070157E">
        <w:t xml:space="preserve">: Rechteckgehäuse aus baltischem Birken-Multiplex-Holz, Flexible </w:t>
      </w:r>
      <w:proofErr w:type="spellStart"/>
      <w:r w:rsidRPr="0070157E">
        <w:t>Stacking</w:t>
      </w:r>
      <w:proofErr w:type="spellEnd"/>
      <w:r w:rsidRPr="0070157E">
        <w:br/>
        <w:t>Lackierung: schwarze</w:t>
      </w:r>
      <w:r>
        <w:t>r</w:t>
      </w:r>
      <w:r w:rsidRPr="0070157E">
        <w:t xml:space="preserve"> Strukturlack</w:t>
      </w:r>
      <w:r w:rsidRPr="0070157E">
        <w:br/>
      </w:r>
      <w:r w:rsidRPr="0070157E">
        <w:rPr>
          <w:bCs/>
        </w:rPr>
        <w:t>Abmessungen</w:t>
      </w:r>
      <w:r w:rsidRPr="0070157E">
        <w:t>: 1.006 x 458 x 606 mm (B x H x T)</w:t>
      </w:r>
      <w:r w:rsidRPr="0070157E">
        <w:br/>
      </w:r>
      <w:r w:rsidRPr="0070157E">
        <w:rPr>
          <w:bCs/>
        </w:rPr>
        <w:t>Gewicht</w:t>
      </w:r>
      <w:r w:rsidRPr="0070157E">
        <w:t>: 70 kg</w:t>
      </w:r>
      <w:r w:rsidRPr="0070157E">
        <w:br/>
      </w:r>
      <w:r w:rsidRPr="0070157E">
        <w:br/>
        <w:t>Abrechnungseinheit: St.</w:t>
      </w:r>
    </w:p>
    <w:p w:rsidR="00012AA0" w:rsidRDefault="00A50CDE" w:rsidP="00A50CDE">
      <w:r w:rsidRPr="0070157E">
        <w:t>Kennung: TRIUS-PF</w:t>
      </w:r>
      <w:r>
        <w:t>2</w:t>
      </w:r>
      <w:r w:rsidRPr="0070157E">
        <w:t>15B+</w:t>
      </w:r>
      <w:bookmarkStart w:id="0" w:name="_GoBack"/>
      <w:bookmarkEnd w:id="0"/>
    </w:p>
    <w:sectPr w:rsidR="00012A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DE"/>
    <w:rsid w:val="00012AA0"/>
    <w:rsid w:val="00A50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43582-3882-4A0F-8436-027A5B1E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0C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Dierselhuis</dc:creator>
  <cp:keywords/>
  <dc:description/>
  <cp:lastModifiedBy>Hubert Dierselhuis</cp:lastModifiedBy>
  <cp:revision>1</cp:revision>
  <dcterms:created xsi:type="dcterms:W3CDTF">2017-11-28T09:36:00Z</dcterms:created>
  <dcterms:modified xsi:type="dcterms:W3CDTF">2017-11-28T09:36:00Z</dcterms:modified>
</cp:coreProperties>
</file>